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LISTA DE MATERIALES DE SEGUNDO AÑO 2026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Para la 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50 hojas de ⅛ watman.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portfolio escolar  con 20 hojas de garbanzo blancas enruladas (las realizan en papeleria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Alservicio.com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la calle Uruguay)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mazos de papel glasé.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block de cartulina de colores.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block A4 de papel de calco.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block de hojas centimetradas.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diccionario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caja de marcadores finos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masa para modelar.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gomas de pegar líquida grande.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gomas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en barra grande.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silicona fría 250ml.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mazo de cartas completo.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marcador fino permanente color negro.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juego de caja completo.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 DEBE VENIR IDENTIFICADO DENTRO DE UNA CAJA DE CARTÓN. 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Para la mochila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cuadernos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hojas con forro rojo de 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 etiqueta con nombre y apellido.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1 cuaderno de 50 hojas con forro azul de p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y etiqueta con nombre y apellido.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cuaderno de 96 hojas forrado con pvc transparente para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cartuchera con: 6 lápices de escribir, 4 gomas de borrar, 3 sacapuntas, 24 lápices de colores, 2 goma de pegar en barra grande y una tijera 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 reponer en función del uso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caja de marcadores gruesos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caja de marcadores finos (12 piezas)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Una regla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20 cm y una escuadra.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libro de cuentos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acorde a la edad que,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al finalizar su lectura, debe ser repuesto por otro.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TODO DEBE VENIR IDENTIFICADO.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dlueqssp30l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BOLSA DE TNT, LA CUAL DEBERÁ CONTENER: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paquete de cerámica sin horno, color terracota. 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caja de pasteles grasos.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caja de crayolas.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pack de 12 témperas de diferentes colores.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sobrecitos de brillantina (colores a elección)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set de acuarelas.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pinceles chatos: uno número 8 y otro número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lija fina al agua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color negro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 túnica, camisa o remera de manga larga (para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 con identificación.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cinta de papel.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TODO DEBE VENIR IDENTIFICADO.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Higiene y cuidado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Estuche con: 1 cepillo de dientes, 1 vaso, 1 pasta dental.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DEBE VENIR IDENTIFICADO CON NOMBRE Y APELLIDO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LIBRO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440" w:hanging="360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para el 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Leer me gusta 2 Editorial Santillana. Edición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j1t6ep49xjq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DOCUMENTACIÓN: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Fotocopia de Carné del Niño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VIGENTE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(aptitud física) página 24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(Se puede subir a la plataforma del Colegio o entregar en la primera entrevista, en febrero).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Vietas" w:customStyle="1">
    <w:name w:val="Viñetas"/>
    <w:qFormat w:val="1"/>
    <w:rPr>
      <w:rFonts w:ascii="OpenSymbol" w:cs="OpenSymbol" w:eastAsia="OpenSymbol" w:hAnsi="OpenSymbol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lservici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zGVoy6Vf/24AbTjF1345USgXw==">CgMxLjAyDmgucGRsdWVxc3NwMzBsMgloLjMwajB6bGwyCGguZ2pkZ3hzMg5oLmoxdDZlcDQ5eGpxejgAciExdW92SGVweXdjYV9KaDgyaXdtMEhqeHVmMzRGVWdMZ1U=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2023-12-18T12:10:00Z</dcterms:created>
  <dc:creator>LUCIA LUC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